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sz w:val="28"/>
          <w:szCs w:val="28"/>
        </w:rPr>
        <w:t>附件3</w:t>
      </w:r>
    </w:p>
    <w:p>
      <w:pPr>
        <w:jc w:val="center"/>
        <w:rPr>
          <w:rFonts w:hint="eastAsia" w:ascii="黑体" w:hAnsi="黑体" w:eastAsia="黑体" w:cs="宋体"/>
          <w:b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kern w:val="0"/>
          <w:sz w:val="36"/>
          <w:szCs w:val="36"/>
        </w:rPr>
        <w:t>政法学院2018-2019学年学生评奖评优名额分配表</w:t>
      </w:r>
    </w:p>
    <w:tbl>
      <w:tblPr>
        <w:tblStyle w:val="2"/>
        <w:tblW w:w="939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493"/>
        <w:gridCol w:w="1137"/>
        <w:gridCol w:w="1270"/>
        <w:gridCol w:w="1003"/>
        <w:gridCol w:w="1137"/>
        <w:gridCol w:w="1137"/>
        <w:gridCol w:w="465"/>
        <w:gridCol w:w="8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专业班级</w:t>
            </w:r>
          </w:p>
        </w:tc>
        <w:tc>
          <w:tcPr>
            <w:tcW w:w="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人数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三好学生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优秀学生干部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甲等奖学金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乙等奖学金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丙等奖学金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2016级法学1班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47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4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优秀毕业生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2016级法学2班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2016级行政管理1班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2016级行政管理2班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2017级法学1班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4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国家奖学金和陶铸奖学金</w:t>
            </w:r>
          </w:p>
        </w:tc>
        <w:tc>
          <w:tcPr>
            <w:tcW w:w="8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各1名，按学校评选条件，经个人申请，班级提名，学院择优推荐。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2017级法学2班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2017级行政管理1班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2018级法学1班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2018级法学2班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2018级法学3班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2018级行政管理1班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2018级行政管理2班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93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说明：1.“三好学生”和“优秀学生干部”的评选不能同时申请；同类奖学金的评选不能同时申请；2. 本学年违反校纪校规及有关管理规定者，未修满年度规定学分者，不能申请奖励；3. 陶铸奖学金、三好学生、优秀学生干部、优秀毕业生获得者需填写评优评奖评审表。4.第十届团委学生会，可推荐“三好学生”1名、“优秀学生干部”3名。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E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゜Devil</cp:lastModifiedBy>
  <dcterms:modified xsi:type="dcterms:W3CDTF">2019-09-30T08:26:34Z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