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192" w:lineRule="auto"/>
        <w:ind w:firstLine="723" w:firstLineChars="200"/>
        <w:jc w:val="center"/>
        <w:textAlignment w:val="auto"/>
        <w:outlineLvl w:val="0"/>
        <w:rPr>
          <w:rFonts w:hint="eastAsia" w:asciiTheme="majorEastAsia" w:hAnsiTheme="majorEastAsia" w:eastAsiaTheme="majorEastAsia" w:cstheme="majorEastAsia"/>
          <w:b/>
          <w:bCs/>
          <w:kern w:val="36"/>
          <w:sz w:val="36"/>
          <w:szCs w:val="36"/>
        </w:rPr>
      </w:pPr>
      <w:r>
        <w:rPr>
          <w:rFonts w:hint="eastAsia" w:asciiTheme="majorEastAsia" w:hAnsiTheme="majorEastAsia" w:eastAsiaTheme="majorEastAsia" w:cstheme="majorEastAsia"/>
          <w:b/>
          <w:bCs/>
          <w:kern w:val="36"/>
          <w:sz w:val="36"/>
          <w:szCs w:val="36"/>
        </w:rPr>
        <w:t>中南林业科技大学政法学院</w:t>
      </w:r>
    </w:p>
    <w:p>
      <w:pPr>
        <w:keepNext w:val="0"/>
        <w:keepLines w:val="0"/>
        <w:pageBreakBefore w:val="0"/>
        <w:widowControl/>
        <w:kinsoku/>
        <w:wordWrap/>
        <w:overflowPunct/>
        <w:topLinePunct w:val="0"/>
        <w:autoSpaceDE/>
        <w:autoSpaceDN/>
        <w:bidi w:val="0"/>
        <w:adjustRightInd/>
        <w:snapToGrid/>
        <w:spacing w:line="192" w:lineRule="auto"/>
        <w:ind w:firstLine="723" w:firstLineChars="200"/>
        <w:jc w:val="center"/>
        <w:textAlignment w:val="auto"/>
        <w:outlineLvl w:val="0"/>
        <w:rPr>
          <w:rFonts w:hint="eastAsia" w:asciiTheme="majorEastAsia" w:hAnsiTheme="majorEastAsia" w:eastAsiaTheme="majorEastAsia" w:cstheme="majorEastAsia"/>
          <w:b/>
          <w:bCs/>
          <w:kern w:val="36"/>
          <w:sz w:val="36"/>
          <w:szCs w:val="36"/>
        </w:rPr>
      </w:pPr>
      <w:r>
        <w:rPr>
          <w:rFonts w:hint="eastAsia" w:asciiTheme="majorEastAsia" w:hAnsiTheme="majorEastAsia" w:eastAsiaTheme="majorEastAsia" w:cstheme="majorEastAsia"/>
          <w:b/>
          <w:bCs/>
          <w:kern w:val="36"/>
          <w:sz w:val="36"/>
          <w:szCs w:val="36"/>
        </w:rPr>
        <w:t>2019年硕士研究生招生复试与录取工作办法</w:t>
      </w:r>
    </w:p>
    <w:p>
      <w:pPr>
        <w:keepNext w:val="0"/>
        <w:keepLines w:val="0"/>
        <w:pageBreakBefore w:val="0"/>
        <w:widowControl/>
        <w:kinsoku/>
        <w:wordWrap/>
        <w:overflowPunct/>
        <w:topLinePunct w:val="0"/>
        <w:autoSpaceDE/>
        <w:autoSpaceDN/>
        <w:bidi w:val="0"/>
        <w:adjustRightInd/>
        <w:snapToGrid/>
        <w:spacing w:line="192" w:lineRule="auto"/>
        <w:ind w:firstLine="562" w:firstLineChars="200"/>
        <w:jc w:val="left"/>
        <w:textAlignment w:val="auto"/>
        <w:outlineLvl w:val="0"/>
        <w:rPr>
          <w:rFonts w:hint="eastAsia" w:asciiTheme="minorEastAsia" w:hAnsiTheme="minorEastAsia" w:eastAsiaTheme="minorEastAsia" w:cstheme="minorEastAsia"/>
          <w:b/>
          <w:bCs/>
          <w:kern w:val="36"/>
          <w:sz w:val="28"/>
          <w:szCs w:val="28"/>
        </w:rPr>
      </w:pPr>
    </w:p>
    <w:p>
      <w:pPr>
        <w:keepNext w:val="0"/>
        <w:keepLines w:val="0"/>
        <w:pageBreakBefore w:val="0"/>
        <w:widowControl w:val="0"/>
        <w:kinsoku/>
        <w:wordWrap/>
        <w:overflowPunct/>
        <w:topLinePunct w:val="0"/>
        <w:autoSpaceDE/>
        <w:autoSpaceDN/>
        <w:bidi w:val="0"/>
        <w:adjustRightInd/>
        <w:snapToGrid/>
        <w:spacing w:line="192"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根据《教育部办公厅关于进一步规范和加强研究生考试招生工作的通知》（教学厅[2019]2 号）、《教育部关于印发&lt;2019年全国硕士研究生招生工作管理规定&gt;的通知》(教学[2018]5号)和《教育部关于加强硕士研究生招生复试工作的指导意见》(教学[2006]4 号)，按照《中南林业科技大学研究生招生章程》</w:t>
      </w:r>
      <w:r>
        <w:rPr>
          <w:rFonts w:hint="eastAsia" w:ascii="宋体" w:hAnsi="宋体" w:eastAsia="宋体" w:cs="宋体"/>
          <w:sz w:val="28"/>
          <w:szCs w:val="28"/>
          <w:lang w:val="en-US" w:eastAsia="zh-CN"/>
        </w:rPr>
        <w:t>以及</w:t>
      </w:r>
      <w:r>
        <w:rPr>
          <w:rFonts w:hint="eastAsia" w:ascii="宋体" w:hAnsi="宋体" w:eastAsia="宋体" w:cs="宋体"/>
          <w:sz w:val="28"/>
          <w:szCs w:val="28"/>
        </w:rPr>
        <w:t>《中南林业科技大学2019年硕士研究生招生复试与录取工作方案》的要求，经政法学院研究生招生领导小组研究，制定本工作办法。</w:t>
      </w:r>
    </w:p>
    <w:p>
      <w:pPr>
        <w:keepNext w:val="0"/>
        <w:keepLines w:val="0"/>
        <w:pageBreakBefore w:val="0"/>
        <w:widowControl/>
        <w:kinsoku/>
        <w:wordWrap/>
        <w:overflowPunct/>
        <w:topLinePunct w:val="0"/>
        <w:autoSpaceDE/>
        <w:autoSpaceDN/>
        <w:bidi w:val="0"/>
        <w:adjustRightInd/>
        <w:snapToGrid/>
        <w:spacing w:line="192" w:lineRule="auto"/>
        <w:ind w:firstLine="562"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kern w:val="0"/>
          <w:sz w:val="28"/>
          <w:szCs w:val="28"/>
        </w:rPr>
        <w:t>一、指导思想</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按需招生、德才并重，公平公正、择优录取”的原则，进一步加强复试考核环节，规范招录程序，提高招生选拔质量，继续优化研究生教育结构，推进信息公开，不断加强监督管理，切实严明招生纪律，确保研究生招生录取工作科学规范、公平公正公开。</w:t>
      </w:r>
    </w:p>
    <w:p>
      <w:pPr>
        <w:keepNext w:val="0"/>
        <w:keepLines w:val="0"/>
        <w:pageBreakBefore w:val="0"/>
        <w:widowControl/>
        <w:kinsoku/>
        <w:wordWrap/>
        <w:overflowPunct/>
        <w:topLinePunct w:val="0"/>
        <w:autoSpaceDE/>
        <w:autoSpaceDN/>
        <w:bidi w:val="0"/>
        <w:adjustRightInd/>
        <w:snapToGrid/>
        <w:spacing w:line="192" w:lineRule="auto"/>
        <w:ind w:firstLine="562" w:firstLineChars="200"/>
        <w:jc w:val="left"/>
        <w:textAlignment w:val="auto"/>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二、组织管理</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经政法学院党政联席会、学院学术委员会研究决定，成立研究生招生领导小组、研究生招生监督小组和研究生招生复试工作小组。</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学院成立学院研究生招生领导小组，由院长任组长，其他院领导任副组长，成员包括学科、专业(领域)负责人和研究生指导教师代表。负责本学院的研究生复试录取工作，组织相关学科、专业（领域）的研究生复试录取工作，及时处置复试录取过程中的突发情况等。</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学院成立由党委(党总支)书记或副书记任组长的研究生招生复试工作监督小组，负责检查监督复试录取工作有关规定的落实情况，全程监督本学院、相关学科、专业（领域）的复试录取过程，受理考生信访或投诉工作。</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各学科、专业(领域)成立复试工作小组，由学科、专业(领域)负责人任组长，成员包括本学科、专业（领域）具有副高以上职称的教师，一般不少于5人，负责相应学科、专业(领域)的复试工作。</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w:t>
      </w:r>
      <w:r>
        <w:rPr>
          <w:rFonts w:hint="eastAsia" w:asciiTheme="minorEastAsia" w:hAnsiTheme="minorEastAsia" w:eastAsiaTheme="minorEastAsia" w:cstheme="minorEastAsia"/>
          <w:kern w:val="0"/>
          <w:sz w:val="28"/>
          <w:szCs w:val="28"/>
          <w:lang w:val="en-US" w:eastAsia="zh-CN"/>
        </w:rPr>
        <w:t>复试基本条件</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1.报考我院考生进入复试的初试成绩基本要求(学术学位类)</w:t>
      </w:r>
    </w:p>
    <w:tbl>
      <w:tblPr>
        <w:tblStyle w:val="6"/>
        <w:tblW w:w="8865" w:type="dxa"/>
        <w:tblInd w:w="93" w:type="dxa"/>
        <w:shd w:val="clear" w:color="auto" w:fill="FFFFFF"/>
        <w:tblLayout w:type="fixed"/>
        <w:tblCellMar>
          <w:top w:w="15" w:type="dxa"/>
          <w:left w:w="15" w:type="dxa"/>
          <w:bottom w:w="15" w:type="dxa"/>
          <w:right w:w="15" w:type="dxa"/>
        </w:tblCellMar>
      </w:tblPr>
      <w:tblGrid>
        <w:gridCol w:w="1637"/>
        <w:gridCol w:w="2152"/>
        <w:gridCol w:w="1434"/>
        <w:gridCol w:w="1740"/>
        <w:gridCol w:w="1902"/>
      </w:tblGrid>
      <w:tr>
        <w:tblPrEx>
          <w:tblLayout w:type="fixed"/>
          <w:tblCellMar>
            <w:top w:w="15" w:type="dxa"/>
            <w:left w:w="15" w:type="dxa"/>
            <w:bottom w:w="15" w:type="dxa"/>
            <w:right w:w="15" w:type="dxa"/>
          </w:tblCellMar>
        </w:tblPrEx>
        <w:trPr>
          <w:trHeight w:val="900" w:hRule="atLeast"/>
        </w:trPr>
        <w:tc>
          <w:tcPr>
            <w:tcW w:w="1637" w:type="dxa"/>
            <w:tcBorders>
              <w:top w:val="single" w:color="000000" w:sz="8" w:space="0"/>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280" w:firstLineChars="1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学科门类</w:t>
            </w:r>
          </w:p>
          <w:p>
            <w:pPr>
              <w:keepNext w:val="0"/>
              <w:keepLines w:val="0"/>
              <w:pageBreakBefore w:val="0"/>
              <w:kinsoku/>
              <w:wordWrap/>
              <w:overflowPunct/>
              <w:topLinePunct w:val="0"/>
              <w:autoSpaceDE/>
              <w:autoSpaceDN/>
              <w:bidi w:val="0"/>
              <w:adjustRightInd/>
              <w:snapToGrid/>
              <w:spacing w:line="192" w:lineRule="auto"/>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(专业)代码</w:t>
            </w:r>
          </w:p>
        </w:tc>
        <w:tc>
          <w:tcPr>
            <w:tcW w:w="2152"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280" w:firstLineChars="1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学科门类</w:t>
            </w:r>
          </w:p>
          <w:p>
            <w:pPr>
              <w:keepNext w:val="0"/>
              <w:keepLines w:val="0"/>
              <w:pageBreakBefore w:val="0"/>
              <w:kinsoku/>
              <w:wordWrap/>
              <w:overflowPunct/>
              <w:topLinePunct w:val="0"/>
              <w:autoSpaceDE/>
              <w:autoSpaceDN/>
              <w:bidi w:val="0"/>
              <w:adjustRightInd/>
              <w:snapToGrid/>
              <w:spacing w:line="192" w:lineRule="auto"/>
              <w:ind w:firstLine="280" w:firstLineChars="1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(专业)名称</w:t>
            </w:r>
          </w:p>
        </w:tc>
        <w:tc>
          <w:tcPr>
            <w:tcW w:w="1434"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总分</w:t>
            </w:r>
          </w:p>
        </w:tc>
        <w:tc>
          <w:tcPr>
            <w:tcW w:w="1740"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单科</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满分=100</w:t>
            </w:r>
          </w:p>
        </w:tc>
        <w:tc>
          <w:tcPr>
            <w:tcW w:w="1902" w:type="dxa"/>
            <w:tcBorders>
              <w:top w:val="single" w:color="000000" w:sz="8" w:space="0"/>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单科</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满分&gt;100</w:t>
            </w:r>
          </w:p>
        </w:tc>
      </w:tr>
      <w:tr>
        <w:tblPrEx>
          <w:tblLayout w:type="fixed"/>
          <w:tblCellMar>
            <w:top w:w="15" w:type="dxa"/>
            <w:left w:w="15" w:type="dxa"/>
            <w:bottom w:w="15" w:type="dxa"/>
            <w:right w:w="15" w:type="dxa"/>
          </w:tblCellMar>
        </w:tblPrEx>
        <w:trPr>
          <w:trHeight w:val="600" w:hRule="atLeast"/>
        </w:trPr>
        <w:tc>
          <w:tcPr>
            <w:tcW w:w="1637" w:type="dxa"/>
            <w:tcBorders>
              <w:top w:val="nil"/>
              <w:left w:val="single" w:color="000000" w:sz="8" w:space="0"/>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030100</w:t>
            </w:r>
          </w:p>
        </w:tc>
        <w:tc>
          <w:tcPr>
            <w:tcW w:w="2152"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法学</w:t>
            </w:r>
          </w:p>
        </w:tc>
        <w:tc>
          <w:tcPr>
            <w:tcW w:w="1434"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320</w:t>
            </w:r>
          </w:p>
        </w:tc>
        <w:tc>
          <w:tcPr>
            <w:tcW w:w="1740"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44</w:t>
            </w:r>
          </w:p>
        </w:tc>
        <w:tc>
          <w:tcPr>
            <w:tcW w:w="1902" w:type="dxa"/>
            <w:tcBorders>
              <w:top w:val="nil"/>
              <w:left w:val="nil"/>
              <w:bottom w:val="single" w:color="000000" w:sz="8" w:space="0"/>
              <w:right w:val="single" w:color="000000" w:sz="8" w:space="0"/>
            </w:tcBorders>
            <w:shd w:val="clear" w:color="auto" w:fill="FFFFFF"/>
            <w:tcMar>
              <w:bottom w:w="0" w:type="dxa"/>
            </w:tcMar>
            <w:vAlign w:val="center"/>
          </w:tcPr>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66</w:t>
            </w:r>
          </w:p>
        </w:tc>
      </w:tr>
    </w:tbl>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2.复试名单确定</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①</w:t>
      </w:r>
      <w:r>
        <w:rPr>
          <w:rFonts w:hint="eastAsia" w:asciiTheme="minorEastAsia" w:hAnsiTheme="minorEastAsia" w:eastAsiaTheme="minorEastAsia" w:cstheme="minorEastAsia"/>
          <w:kern w:val="0"/>
          <w:sz w:val="28"/>
          <w:szCs w:val="28"/>
          <w:lang w:val="en-US" w:eastAsia="zh-CN"/>
        </w:rPr>
        <w:t>法学专业招生计划为1</w:t>
      </w:r>
      <w:r>
        <w:rPr>
          <w:rFonts w:hint="eastAsia" w:asciiTheme="minorEastAsia" w:hAnsi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lang w:val="en-US" w:eastAsia="zh-CN"/>
        </w:rPr>
        <w:t>人。</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②</w:t>
      </w:r>
      <w:r>
        <w:rPr>
          <w:rFonts w:hint="eastAsia" w:asciiTheme="minorEastAsia" w:hAnsiTheme="minorEastAsia" w:eastAsiaTheme="minorEastAsia" w:cstheme="minorEastAsia"/>
          <w:kern w:val="0"/>
          <w:sz w:val="28"/>
          <w:szCs w:val="28"/>
          <w:lang w:val="en-US" w:eastAsia="zh-CN"/>
        </w:rPr>
        <w:t>招生专业方向为法学理论、宪法与行政法学、环境与资源保护法学、刑法学、民商法学。</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b/>
          <w:bCs/>
          <w:kern w:val="0"/>
          <w:sz w:val="28"/>
          <w:szCs w:val="28"/>
        </w:rPr>
      </w:pPr>
      <w:r>
        <w:rPr>
          <w:rFonts w:hint="default" w:asciiTheme="minorEastAsia" w:hAnsiTheme="minorEastAsia" w:eastAsiaTheme="minorEastAsia" w:cstheme="minorEastAsia"/>
          <w:kern w:val="0"/>
          <w:sz w:val="28"/>
          <w:szCs w:val="28"/>
          <w:lang w:val="en-US" w:eastAsia="zh-CN"/>
        </w:rPr>
        <w:t>③</w:t>
      </w:r>
      <w:r>
        <w:rPr>
          <w:rFonts w:hint="eastAsia" w:asciiTheme="minorEastAsia" w:hAnsiTheme="minorEastAsia" w:eastAsiaTheme="minorEastAsia" w:cstheme="minorEastAsia"/>
          <w:kern w:val="0"/>
          <w:sz w:val="28"/>
          <w:szCs w:val="28"/>
          <w:lang w:val="en-US" w:eastAsia="zh-CN"/>
        </w:rPr>
        <w:t>学院采取差额形式复试，差额比例一般不低于120%。</w:t>
      </w:r>
    </w:p>
    <w:p>
      <w:pPr>
        <w:keepNext w:val="0"/>
        <w:keepLines w:val="0"/>
        <w:pageBreakBefore w:val="0"/>
        <w:widowControl/>
        <w:kinsoku/>
        <w:wordWrap/>
        <w:overflowPunct/>
        <w:topLinePunct w:val="0"/>
        <w:autoSpaceDE/>
        <w:autoSpaceDN/>
        <w:bidi w:val="0"/>
        <w:adjustRightInd/>
        <w:snapToGrid/>
        <w:spacing w:line="192" w:lineRule="auto"/>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kern w:val="0"/>
          <w:sz w:val="28"/>
          <w:szCs w:val="28"/>
        </w:rPr>
        <w:t>四、调剂</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法学专业招生计划余额</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名，调剂的条件、程序等详见《中南林业科技大学政法学院2019年法学硕士研究生调剂工作办法》。</w:t>
      </w:r>
    </w:p>
    <w:p>
      <w:pPr>
        <w:keepNext w:val="0"/>
        <w:keepLines w:val="0"/>
        <w:pageBreakBefore w:val="0"/>
        <w:widowControl/>
        <w:kinsoku/>
        <w:wordWrap/>
        <w:overflowPunct/>
        <w:topLinePunct w:val="0"/>
        <w:autoSpaceDE/>
        <w:autoSpaceDN/>
        <w:bidi w:val="0"/>
        <w:adjustRightInd/>
        <w:snapToGrid/>
        <w:spacing w:line="192" w:lineRule="auto"/>
        <w:ind w:firstLine="562" w:firstLineChars="200"/>
        <w:jc w:val="left"/>
        <w:textAlignment w:val="auto"/>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五、复试组成、复试内容与具体安排</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（一）复试组成及复试分值</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1.复试由专业课笔试、专业面试（含实践能力考核、思想政治情况考核等考核）、</w:t>
      </w:r>
      <w:r>
        <w:rPr>
          <w:rFonts w:hint="eastAsia" w:asciiTheme="minorEastAsia" w:hAnsiTheme="minorEastAsia" w:eastAsiaTheme="minorEastAsia" w:cstheme="minorEastAsia"/>
          <w:sz w:val="28"/>
          <w:szCs w:val="28"/>
          <w:lang w:val="en-US" w:eastAsia="zh-CN"/>
        </w:rPr>
        <w:t>英语听说能力测试</w:t>
      </w:r>
      <w:r>
        <w:rPr>
          <w:rFonts w:hint="eastAsia" w:asciiTheme="minorEastAsia" w:hAnsiTheme="minorEastAsia" w:eastAsiaTheme="minorEastAsia" w:cstheme="minorEastAsia"/>
          <w:sz w:val="28"/>
          <w:szCs w:val="28"/>
        </w:rPr>
        <w:t>三部分组成。专业课笔试时间为120分钟；面试和</w:t>
      </w:r>
      <w:r>
        <w:rPr>
          <w:rFonts w:hint="eastAsia" w:asciiTheme="minorEastAsia" w:hAnsiTheme="minorEastAsia" w:eastAsiaTheme="minorEastAsia" w:cstheme="minorEastAsia"/>
          <w:sz w:val="28"/>
          <w:szCs w:val="28"/>
          <w:lang w:val="en-US" w:eastAsia="zh-CN"/>
        </w:rPr>
        <w:t>英语听说能力测试</w:t>
      </w:r>
      <w:r>
        <w:rPr>
          <w:rFonts w:hint="eastAsia" w:asciiTheme="minorEastAsia" w:hAnsiTheme="minorEastAsia" w:eastAsiaTheme="minorEastAsia" w:cstheme="minorEastAsia"/>
          <w:sz w:val="28"/>
          <w:szCs w:val="28"/>
        </w:rPr>
        <w:t>时间为20-25分钟。</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2.复试总分值300分，其中专业课笔试100分、专业面试100分、英语听说能力考核100分。</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（二）复试内容</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1.专业课</w:t>
      </w:r>
      <w:r>
        <w:rPr>
          <w:rFonts w:hint="eastAsia" w:asciiTheme="minorEastAsia" w:hAnsiTheme="minorEastAsia" w:eastAsiaTheme="minorEastAsia" w:cstheme="minorEastAsia"/>
          <w:sz w:val="28"/>
          <w:szCs w:val="28"/>
          <w:lang w:val="en-US" w:eastAsia="zh-CN"/>
        </w:rPr>
        <w:t>笔</w:t>
      </w:r>
      <w:r>
        <w:rPr>
          <w:rFonts w:hint="eastAsia" w:asciiTheme="minorEastAsia" w:hAnsiTheme="minorEastAsia" w:eastAsiaTheme="minorEastAsia" w:cstheme="minorEastAsia"/>
          <w:sz w:val="28"/>
          <w:szCs w:val="28"/>
        </w:rPr>
        <w:t>试内容为中国法制史和诉讼法学。</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2.专业面试在对考生德智体等各方面全面考察的基础上，突出对考生专业方向知识的掌握情况以及专业素质、实践能力以及创新精神等方面的考核。</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lang w:val="en-US" w:eastAsia="zh-CN"/>
        </w:rPr>
        <w:t>英语听说能力测试</w:t>
      </w:r>
      <w:r>
        <w:rPr>
          <w:rFonts w:hint="eastAsia" w:asciiTheme="minorEastAsia" w:hAnsiTheme="minorEastAsia" w:eastAsiaTheme="minorEastAsia" w:cstheme="minorEastAsia"/>
          <w:sz w:val="28"/>
          <w:szCs w:val="28"/>
        </w:rPr>
        <w:t>主要测试考生实际运用</w:t>
      </w:r>
      <w:r>
        <w:rPr>
          <w:rFonts w:hint="eastAsia" w:asciiTheme="minorEastAsia" w:hAnsiTheme="minorEastAsia" w:cstheme="minorEastAsia"/>
          <w:sz w:val="28"/>
          <w:szCs w:val="28"/>
          <w:lang w:eastAsia="zh-CN"/>
        </w:rPr>
        <w:t>英语</w:t>
      </w:r>
      <w:r>
        <w:rPr>
          <w:rFonts w:hint="eastAsia" w:asciiTheme="minorEastAsia" w:hAnsiTheme="minorEastAsia" w:eastAsiaTheme="minorEastAsia" w:cstheme="minorEastAsia"/>
          <w:sz w:val="28"/>
          <w:szCs w:val="28"/>
        </w:rPr>
        <w:t>知识的能力。</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（三）具体安排</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1.资格审查。</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3月27日-3月29日上午8:30-11:30，下午2：00-5：00至树木楼（生命科学楼）A座大厅进行资格审查，逾期不予办理。</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资格审查时考生须提供下列材料：</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（1）考生的准考证和有效身份证件原件。</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应届毕业生的学生证原件；往届生的学历证书原件和教育部学历证书电子注册备案表（或学历认证报告），学位证书原件(报考对学位有要求专业的考生）；专科起点获本科毕业证或者专升本的考生还须提交专科毕业证；同等学力考生须提交任意一项：a.全国自学考试6科以上（含6科）成绩合格证明，b.成人高校专升本在读考生持《教育部学籍在线验证报告》。持在境外获得学历/学位的考生，须提交教育部留学服务中心出具的认证报告（境外学校在读本科生，不能以应届生身份报考）</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（3）在读研究生须提供培养单位出具的同意报考证明；考生还须在拟录取前提供注销原学籍证明。</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（4）对于在2019年9月1日前可取得国家承认本科毕业证书的自学考试和网络教育本科生，须提供颁发毕业证书的省级高等教育自学考试办公室或网络教育高校出具的相关证明。</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（5）报考“退役大学生士兵专项计划”的考生还须提供《入伍批准书》、《退出现役证》。</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（6）报考为定向就业的考生，必须提交本人书面申请和单位同意公函。</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考生须携带上述材料原件和复印件各一套，复印件由研招办留存。</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资格审查通过的考生凭身份证和《2019年研究生复试情况登记表》至政法学院报到（博文楼北栋705办公室），咨询学院相关复试安排,并提交下列材料的原件及复印件一套：</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①学术著作与论文；②获奖证书；③资格证书；④能够体现学业水平、科研能力、创新能力的其他材料。</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kern w:val="0"/>
          <w:sz w:val="28"/>
          <w:szCs w:val="28"/>
        </w:rPr>
        <w:t>2.心理健康普查。</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普查时间：</w:t>
      </w:r>
      <w:r>
        <w:rPr>
          <w:rFonts w:hint="eastAsia" w:asciiTheme="minorEastAsia" w:hAnsiTheme="minorEastAsia" w:eastAsiaTheme="minorEastAsia" w:cstheme="minorEastAsia"/>
          <w:sz w:val="28"/>
          <w:szCs w:val="28"/>
        </w:rPr>
        <w:t>3月27日-3月29日上午8:30-11:30，下午2：00-5：00</w:t>
      </w:r>
      <w:r>
        <w:rPr>
          <w:rFonts w:hint="eastAsia" w:asciiTheme="minorEastAsia" w:hAnsiTheme="minorEastAsia" w:eastAsiaTheme="minorEastAsia" w:cstheme="minorEastAsia"/>
          <w:kern w:val="0"/>
          <w:sz w:val="28"/>
          <w:szCs w:val="28"/>
        </w:rPr>
        <w:t>；普查地点：致用楼二楼团体辅导室。</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考生凭本人身份证和准考证参加测试，可选择在公布的时间段随机测试。调剂考生如无法测试，请联系测试老师登记进行测试。未进行心理健康普查的考生不予参加复试。</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3.专业笔试。</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专业笔试时间：3月30日上午8：30---10：30。</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color w:val="FF0000"/>
          <w:kern w:val="0"/>
          <w:sz w:val="28"/>
          <w:szCs w:val="28"/>
          <w:u w:val="single"/>
        </w:rPr>
      </w:pPr>
      <w:r>
        <w:rPr>
          <w:rFonts w:hint="eastAsia" w:asciiTheme="minorEastAsia" w:hAnsiTheme="minorEastAsia" w:eastAsiaTheme="minorEastAsia" w:cstheme="minorEastAsia"/>
          <w:kern w:val="0"/>
          <w:sz w:val="28"/>
          <w:szCs w:val="28"/>
        </w:rPr>
        <w:t>专业笔试地点另行通知。</w:t>
      </w:r>
    </w:p>
    <w:p>
      <w:pPr>
        <w:keepNext w:val="0"/>
        <w:keepLines w:val="0"/>
        <w:pageBreakBefore w:val="0"/>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4.面试和英语听说能力考核。</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面试和英语听说能力考核分别进行，3月30日13：00开始。</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地点另行通知。</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考生面试时须提供以下材料：</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（1）考生自述（包括思想政治表现、外语水平、业务和科研能力、攻读硕士学位研究计划等）；</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（2）大学期间成绩单（需由所在高校教务处加盖公章或档案管理部门加盖公章）；</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（3）报考中南林业科技大学硕士研究生考生思想政治情况审查表；</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（4）2019年研究生复试情况登记表；</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（5）其他可反映自身能力和水平的材料。</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5.体检。</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体检由校医院负责。一志愿考生和第一次调剂考生体检时间定在</w:t>
      </w:r>
      <w:r>
        <w:rPr>
          <w:rFonts w:hint="eastAsia" w:asciiTheme="minorEastAsia" w:hAnsiTheme="minorEastAsia" w:eastAsiaTheme="minorEastAsia" w:cstheme="minorEastAsia"/>
          <w:sz w:val="28"/>
          <w:szCs w:val="28"/>
        </w:rPr>
        <w:t>3月27日-3月29日</w:t>
      </w:r>
      <w:r>
        <w:rPr>
          <w:rFonts w:hint="eastAsia" w:asciiTheme="minorEastAsia" w:hAnsiTheme="minorEastAsia" w:eastAsiaTheme="minorEastAsia" w:cstheme="minorEastAsia"/>
          <w:kern w:val="0"/>
          <w:sz w:val="28"/>
          <w:szCs w:val="28"/>
        </w:rPr>
        <w:t>，地点设在校医院一楼（林科大桥西）。考生自备1寸免冠照片一张，凭准考证、身份证和《2019年研究生复试情况登记表》空腹到校医院交纳体检费（体检费标准：85元/人）、领取体检表进行体检。</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体检标准参照教育部、卫生部、中国残联印发的《普通高等学校招生体检工作指导意见》执行，体检不合格或未参加体检的考生将不予录取。</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6.拟录取。</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学院研究生招生领导小组根据学院相关学科、专业（领域）的招生计划、复试录取方案、考生总成绩排名、思想政治表现、身心健康状况等择优确定拟录取名单</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成绩相同时，综合考虑学业水平、科研能力、创新能力等择优录取。</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总成绩的计算方法</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考生总成绩由初试成绩和复试成绩加权后综合计算。</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总成绩（折合成百分制）=初试加权成绩+复试加权成绩；</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初试加权成绩=[（初试外国语+初试政治理论）*1.5+业务课1+业务科2]/6* 60%；</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有下列情形之一的，不予录取：</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（1）思想政治素质或品德考核不合格者；</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（2）复试成绩不合格（未达到复试总成绩满分的60%）者；</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（3）人事档案审查不合格者；</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（4）体检或心理健康普查不合格者；</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如果拟录取的考生被取消录取资格或者放弃录取资格，根据缺额按照综合成绩排名依次替补。</w:t>
      </w:r>
    </w:p>
    <w:p>
      <w:pPr>
        <w:keepNext w:val="0"/>
        <w:keepLines w:val="0"/>
        <w:pageBreakBefore w:val="0"/>
        <w:widowControl/>
        <w:kinsoku/>
        <w:wordWrap/>
        <w:overflowPunct/>
        <w:topLinePunct w:val="0"/>
        <w:autoSpaceDE/>
        <w:autoSpaceDN/>
        <w:bidi w:val="0"/>
        <w:adjustRightInd/>
        <w:snapToGrid/>
        <w:spacing w:line="192" w:lineRule="auto"/>
        <w:ind w:firstLine="562" w:firstLineChars="200"/>
        <w:jc w:val="left"/>
        <w:textAlignment w:val="auto"/>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六、复试监督和异议、举报</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1.拟录取名单公示。拟录取的硕士研究生名单由学院公示3天；无异议后，由研究生院招生办公示10个工作日。</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2.异议与举报。在公示期内，政法学院研究生招生领导小组、政法学院研究生招生监督小组负责受理考生的异议及回复，以及对招生过程中违纪违法行为的投诉、申诉。</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如发现学院的违规违纪情况，可向学校纪委办公室、监察处反映。</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研招办联系方式：0731-85623266，电子邮箱csuftyzb@126.com （邮件标题请注明：2019年硕士招生）</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纪委办公室、监察处联系方式：0731-85623108，电子邮箱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"mailto:jwjcc@csuft.edu.cn"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kern w:val="0"/>
          <w:sz w:val="28"/>
          <w:szCs w:val="28"/>
        </w:rPr>
        <w:t>jwjcc@csuft.edu.cn</w:t>
      </w:r>
      <w:r>
        <w:rPr>
          <w:rFonts w:hint="eastAsia" w:asciiTheme="minorEastAsia" w:hAnsiTheme="minorEastAsia" w:eastAsiaTheme="minorEastAsia" w:cstheme="minorEastAsia"/>
          <w:kern w:val="0"/>
          <w:sz w:val="28"/>
          <w:szCs w:val="28"/>
        </w:rPr>
        <w:fldChar w:fldCharType="end"/>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通讯地址：湖南省长沙市韶山南路498号中南林业科技大学</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未尽事宜，依照教育部《2019年全国硕士研究生招生工作管理规定》《关于进一步规范和加强研究生考试招生工作的通知》等的规定，以及《中南林业科技大学研究生招生简章》《中南林业科技大学2019年硕士研究生招生复试与录取工作方案》等的要求执行。</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left"/>
        <w:textAlignment w:val="auto"/>
        <w:rPr>
          <w:rFonts w:hint="eastAsia" w:asciiTheme="minorEastAsia" w:hAnsiTheme="minorEastAsia" w:eastAsiaTheme="minorEastAsia" w:cstheme="minorEastAsia"/>
          <w:kern w:val="0"/>
          <w:sz w:val="28"/>
          <w:szCs w:val="28"/>
        </w:rPr>
      </w:pPr>
      <w:bookmarkStart w:id="0" w:name="_GoBack"/>
      <w:bookmarkEnd w:id="0"/>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righ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中南林业科技大学政法学院</w:t>
      </w:r>
    </w:p>
    <w:p>
      <w:pPr>
        <w:keepNext w:val="0"/>
        <w:keepLines w:val="0"/>
        <w:pageBreakBefore w:val="0"/>
        <w:widowControl/>
        <w:kinsoku/>
        <w:wordWrap/>
        <w:overflowPunct/>
        <w:topLinePunct w:val="0"/>
        <w:autoSpaceDE/>
        <w:autoSpaceDN/>
        <w:bidi w:val="0"/>
        <w:adjustRightInd/>
        <w:snapToGrid/>
        <w:spacing w:line="192" w:lineRule="auto"/>
        <w:ind w:firstLine="560" w:firstLineChars="200"/>
        <w:jc w:val="righ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2019年3月22日</w:t>
      </w: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404E7"/>
    <w:rsid w:val="00060B49"/>
    <w:rsid w:val="00080236"/>
    <w:rsid w:val="000B454A"/>
    <w:rsid w:val="000D7FB7"/>
    <w:rsid w:val="001A4DA4"/>
    <w:rsid w:val="001E342B"/>
    <w:rsid w:val="001E5425"/>
    <w:rsid w:val="002612CB"/>
    <w:rsid w:val="00284A80"/>
    <w:rsid w:val="002E64E8"/>
    <w:rsid w:val="003063C0"/>
    <w:rsid w:val="003D3FF1"/>
    <w:rsid w:val="003F5AA4"/>
    <w:rsid w:val="003F7FAD"/>
    <w:rsid w:val="004341FF"/>
    <w:rsid w:val="004962BF"/>
    <w:rsid w:val="004B74ED"/>
    <w:rsid w:val="00547B3A"/>
    <w:rsid w:val="00576A4F"/>
    <w:rsid w:val="005F7157"/>
    <w:rsid w:val="00600A1F"/>
    <w:rsid w:val="007176CB"/>
    <w:rsid w:val="007F6EC0"/>
    <w:rsid w:val="0083213F"/>
    <w:rsid w:val="008A2A44"/>
    <w:rsid w:val="008B0818"/>
    <w:rsid w:val="008B59BF"/>
    <w:rsid w:val="008D0AA4"/>
    <w:rsid w:val="009B1C4C"/>
    <w:rsid w:val="009E3AFA"/>
    <w:rsid w:val="00AE1D39"/>
    <w:rsid w:val="00B12BF2"/>
    <w:rsid w:val="00B90671"/>
    <w:rsid w:val="00B9400D"/>
    <w:rsid w:val="00C005BB"/>
    <w:rsid w:val="00C366AA"/>
    <w:rsid w:val="00CD0642"/>
    <w:rsid w:val="00D41760"/>
    <w:rsid w:val="00DB4BEF"/>
    <w:rsid w:val="00E121BF"/>
    <w:rsid w:val="00E6785F"/>
    <w:rsid w:val="00E95323"/>
    <w:rsid w:val="00ED0C96"/>
    <w:rsid w:val="00EE4C52"/>
    <w:rsid w:val="00F01C86"/>
    <w:rsid w:val="00F82D76"/>
    <w:rsid w:val="00F84D21"/>
    <w:rsid w:val="00F90C5C"/>
    <w:rsid w:val="00F940F8"/>
    <w:rsid w:val="00FA47BA"/>
    <w:rsid w:val="00FD20AF"/>
    <w:rsid w:val="01DC03DE"/>
    <w:rsid w:val="023901BB"/>
    <w:rsid w:val="03567801"/>
    <w:rsid w:val="08372106"/>
    <w:rsid w:val="086126C9"/>
    <w:rsid w:val="0C2E1BCC"/>
    <w:rsid w:val="0CC871CB"/>
    <w:rsid w:val="0EE966CA"/>
    <w:rsid w:val="12126A76"/>
    <w:rsid w:val="15E855A2"/>
    <w:rsid w:val="1A544F29"/>
    <w:rsid w:val="1BC9518E"/>
    <w:rsid w:val="1C266C70"/>
    <w:rsid w:val="1D8063A3"/>
    <w:rsid w:val="21813289"/>
    <w:rsid w:val="21E906AF"/>
    <w:rsid w:val="22EA6367"/>
    <w:rsid w:val="28756D13"/>
    <w:rsid w:val="2AFC5662"/>
    <w:rsid w:val="2B060CD5"/>
    <w:rsid w:val="2C421174"/>
    <w:rsid w:val="2D7949A7"/>
    <w:rsid w:val="2DE22418"/>
    <w:rsid w:val="2F7A3B6D"/>
    <w:rsid w:val="2FB94FC9"/>
    <w:rsid w:val="356E42AF"/>
    <w:rsid w:val="36E9145D"/>
    <w:rsid w:val="37BF5E27"/>
    <w:rsid w:val="38780651"/>
    <w:rsid w:val="38F30E7B"/>
    <w:rsid w:val="3A6A1066"/>
    <w:rsid w:val="3C0404E7"/>
    <w:rsid w:val="3C2A7046"/>
    <w:rsid w:val="3C9C2FC6"/>
    <w:rsid w:val="3DD2557B"/>
    <w:rsid w:val="3E256BF8"/>
    <w:rsid w:val="3E842093"/>
    <w:rsid w:val="3EA82433"/>
    <w:rsid w:val="3EB55EE4"/>
    <w:rsid w:val="3FA26E07"/>
    <w:rsid w:val="408F3DE1"/>
    <w:rsid w:val="419050D5"/>
    <w:rsid w:val="42246F05"/>
    <w:rsid w:val="42B82F33"/>
    <w:rsid w:val="449E1D7A"/>
    <w:rsid w:val="45B260BD"/>
    <w:rsid w:val="46902D74"/>
    <w:rsid w:val="46B95715"/>
    <w:rsid w:val="482C01B0"/>
    <w:rsid w:val="486C4923"/>
    <w:rsid w:val="48850432"/>
    <w:rsid w:val="48E623D3"/>
    <w:rsid w:val="490E1152"/>
    <w:rsid w:val="4B5A4716"/>
    <w:rsid w:val="4BF710F3"/>
    <w:rsid w:val="4C5C6670"/>
    <w:rsid w:val="4CA27F1E"/>
    <w:rsid w:val="4CAD3735"/>
    <w:rsid w:val="4D383661"/>
    <w:rsid w:val="4D4E3DD8"/>
    <w:rsid w:val="4E407B97"/>
    <w:rsid w:val="4F883383"/>
    <w:rsid w:val="504968DD"/>
    <w:rsid w:val="54F21618"/>
    <w:rsid w:val="560B6011"/>
    <w:rsid w:val="586A443E"/>
    <w:rsid w:val="5DA229CE"/>
    <w:rsid w:val="5FE86E66"/>
    <w:rsid w:val="60D945DB"/>
    <w:rsid w:val="62E6213B"/>
    <w:rsid w:val="643E38A5"/>
    <w:rsid w:val="64917F10"/>
    <w:rsid w:val="6532706B"/>
    <w:rsid w:val="65792922"/>
    <w:rsid w:val="6622541B"/>
    <w:rsid w:val="66943A51"/>
    <w:rsid w:val="66947604"/>
    <w:rsid w:val="674D2090"/>
    <w:rsid w:val="683654F8"/>
    <w:rsid w:val="686670CC"/>
    <w:rsid w:val="6B6F156D"/>
    <w:rsid w:val="6C862FC6"/>
    <w:rsid w:val="6CD51D95"/>
    <w:rsid w:val="6E3E2FA3"/>
    <w:rsid w:val="6E551F83"/>
    <w:rsid w:val="709E4479"/>
    <w:rsid w:val="72301809"/>
    <w:rsid w:val="73043B29"/>
    <w:rsid w:val="75220A3D"/>
    <w:rsid w:val="76E265EB"/>
    <w:rsid w:val="779934D5"/>
    <w:rsid w:val="790C0C52"/>
    <w:rsid w:val="7C2B12FD"/>
    <w:rsid w:val="7D77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styleId="9">
    <w:name w:val="FollowedHyperlink"/>
    <w:basedOn w:val="7"/>
    <w:qFormat/>
    <w:uiPriority w:val="0"/>
    <w:rPr>
      <w:color w:val="333333"/>
      <w:u w:val="none"/>
    </w:rPr>
  </w:style>
  <w:style w:type="character" w:styleId="10">
    <w:name w:val="Hyperlink"/>
    <w:basedOn w:val="7"/>
    <w:uiPriority w:val="0"/>
    <w:rPr>
      <w:color w:val="333333"/>
      <w:u w:val="none"/>
    </w:rPr>
  </w:style>
  <w:style w:type="character" w:customStyle="1" w:styleId="11">
    <w:name w:val="before1"/>
    <w:basedOn w:val="7"/>
    <w:qFormat/>
    <w:uiPriority w:val="0"/>
  </w:style>
  <w:style w:type="character" w:customStyle="1" w:styleId="12">
    <w:name w:val="before2"/>
    <w:basedOn w:val="7"/>
    <w:qFormat/>
    <w:uiPriority w:val="0"/>
  </w:style>
  <w:style w:type="character" w:customStyle="1" w:styleId="13">
    <w:name w:val="before3"/>
    <w:basedOn w:val="7"/>
    <w:uiPriority w:val="0"/>
  </w:style>
  <w:style w:type="character" w:customStyle="1" w:styleId="14">
    <w:name w:val="before4"/>
    <w:basedOn w:val="7"/>
    <w:qFormat/>
    <w:uiPriority w:val="0"/>
  </w:style>
  <w:style w:type="character" w:customStyle="1" w:styleId="15">
    <w:name w:val="before5"/>
    <w:basedOn w:val="7"/>
    <w:uiPriority w:val="0"/>
  </w:style>
  <w:style w:type="character" w:customStyle="1" w:styleId="16">
    <w:name w:val="before6"/>
    <w:basedOn w:val="7"/>
    <w:qFormat/>
    <w:uiPriority w:val="0"/>
  </w:style>
  <w:style w:type="character" w:customStyle="1" w:styleId="17">
    <w:name w:val="before7"/>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415</Words>
  <Characters>2371</Characters>
  <Lines>19</Lines>
  <Paragraphs>5</Paragraphs>
  <TotalTime>89</TotalTime>
  <ScaleCrop>false</ScaleCrop>
  <LinksUpToDate>false</LinksUpToDate>
  <CharactersWithSpaces>2781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2019-03-15T00:36:00Z</dcterms:created>
  <dc:creator>谌玲</dc:creator>
  <cp:lastModifiedBy>谌玲</cp:lastModifiedBy>
  <dcterms:modified xsi:type="dcterms:W3CDTF">2019-03-24T13:15:55Z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